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276"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276"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line="276" w:lineRule="auto"/>
        <w:rPr>
          <w:color w:val="000000"/>
          <w:sz w:val="22"/>
          <w:szCs w:val="22"/>
        </w:rPr>
      </w:pPr>
      <w:r w:rsidDel="00000000" w:rsidR="00000000" w:rsidRPr="00000000">
        <w:rPr>
          <w:color w:val="000000"/>
          <w:sz w:val="22"/>
          <w:szCs w:val="22"/>
          <w:rtl w:val="0"/>
        </w:rPr>
        <w:t xml:space="preserve">ROSCI0342ZPB</w:t>
      </w:r>
    </w:p>
    <w:p w:rsidR="00000000" w:rsidDel="00000000" w:rsidP="00000000" w:rsidRDefault="00000000" w:rsidRPr="00000000" w14:paraId="00000005">
      <w:pPr>
        <w:spacing w:after="0" w:line="276"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276"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276" w:lineRule="auto"/>
        <w:rPr>
          <w:color w:val="000000"/>
          <w:sz w:val="22"/>
          <w:szCs w:val="22"/>
        </w:rPr>
      </w:pPr>
      <w:r w:rsidDel="00000000" w:rsidR="00000000" w:rsidRPr="00000000">
        <w:rPr>
          <w:sz w:val="22"/>
          <w:szCs w:val="22"/>
          <w:rtl w:val="0"/>
        </w:rPr>
        <w:t xml:space="preserve">Pădurea Târgu Mureș</w:t>
      </w:r>
      <w:r w:rsidDel="00000000" w:rsidR="00000000" w:rsidRPr="00000000">
        <w:rPr>
          <w:rtl w:val="0"/>
        </w:rPr>
      </w:r>
    </w:p>
    <w:p w:rsidR="00000000" w:rsidDel="00000000" w:rsidP="00000000" w:rsidRDefault="00000000" w:rsidRPr="00000000" w14:paraId="00000008">
      <w:pPr>
        <w:spacing w:after="80" w:before="240" w:line="276"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276" w:lineRule="auto"/>
        <w:rPr>
          <w:sz w:val="22"/>
          <w:szCs w:val="22"/>
        </w:rPr>
      </w:pPr>
      <w:sdt>
        <w:sdtPr>
          <w:id w:val="99333011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276" w:lineRule="auto"/>
        <w:rPr>
          <w:sz w:val="22"/>
          <w:szCs w:val="22"/>
        </w:rPr>
      </w:pPr>
      <w:sdt>
        <w:sdtPr>
          <w:id w:val="-19896135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276" w:lineRule="auto"/>
        <w:rPr>
          <w:sz w:val="22"/>
          <w:szCs w:val="22"/>
        </w:rPr>
      </w:pPr>
      <w:sdt>
        <w:sdtPr>
          <w:id w:val="208975208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276"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276"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276"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276"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276"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276"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276"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276"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276"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276"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276"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276"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276"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276"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276"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276"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276"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276"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276"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276"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276"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276" w:lineRule="auto"/>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276"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276"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276"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276"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276"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276"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276"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276"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276"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276"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276"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276"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276"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276" w:lineRule="auto"/>
        <w:rPr>
          <w:color w:val="000000"/>
          <w:sz w:val="22"/>
          <w:szCs w:val="22"/>
        </w:rPr>
      </w:pPr>
      <w:r w:rsidDel="00000000" w:rsidR="00000000" w:rsidRPr="00000000">
        <w:rPr>
          <w:rtl w:val="0"/>
        </w:rPr>
      </w:r>
    </w:p>
    <w:p w:rsidR="00000000" w:rsidDel="00000000" w:rsidP="00000000" w:rsidRDefault="00000000" w:rsidRPr="00000000" w14:paraId="0000003E">
      <w:pPr>
        <w:spacing w:after="120" w:before="480" w:line="276"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276"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276" w:lineRule="auto"/>
        <w:rPr>
          <w:color w:val="000000"/>
          <w:sz w:val="22"/>
          <w:szCs w:val="22"/>
        </w:rPr>
      </w:pPr>
      <w:r w:rsidDel="00000000" w:rsidR="00000000" w:rsidRPr="00000000">
        <w:rPr>
          <w:color w:val="000000"/>
          <w:sz w:val="22"/>
          <w:szCs w:val="22"/>
          <w:rtl w:val="0"/>
        </w:rPr>
        <w:t xml:space="preserve">108,77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1">
      <w:pPr>
        <w:spacing w:after="80" w:before="240" w:line="276"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276" w:lineRule="auto"/>
        <w:rPr>
          <w:color w:val="000000"/>
          <w:sz w:val="22"/>
          <w:szCs w:val="22"/>
        </w:rPr>
      </w:pPr>
      <w:r w:rsidDel="00000000" w:rsidR="00000000" w:rsidRPr="00000000">
        <w:rPr>
          <w:color w:val="000000"/>
          <w:sz w:val="22"/>
          <w:szCs w:val="22"/>
          <w:rtl w:val="0"/>
        </w:rPr>
        <w:t xml:space="preserve">1</w:t>
      </w:r>
      <w:r w:rsidDel="00000000" w:rsidR="00000000" w:rsidRPr="00000000">
        <w:rPr>
          <w:sz w:val="22"/>
          <w:szCs w:val="22"/>
          <w:rtl w:val="0"/>
        </w:rPr>
        <w:t xml:space="preserve">9,07</w:t>
      </w:r>
      <w:r w:rsidDel="00000000" w:rsidR="00000000" w:rsidRPr="00000000">
        <w:rPr>
          <w:color w:val="000000"/>
          <w:sz w:val="22"/>
          <w:szCs w:val="22"/>
          <w:rtl w:val="0"/>
        </w:rPr>
        <w:t xml:space="preserve">%</w:t>
      </w:r>
    </w:p>
    <w:p w:rsidR="00000000" w:rsidDel="00000000" w:rsidP="00000000" w:rsidRDefault="00000000" w:rsidRPr="00000000" w14:paraId="00000043">
      <w:pPr>
        <w:spacing w:after="80" w:before="240" w:line="276"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276"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276"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276"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276"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276"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276"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276"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276" w:lineRule="auto"/>
        <w:rPr>
          <w:color w:val="000000"/>
          <w:sz w:val="22"/>
          <w:szCs w:val="22"/>
        </w:rPr>
      </w:pPr>
      <w:r w:rsidDel="00000000" w:rsidR="00000000" w:rsidRPr="00000000">
        <w:rPr>
          <w:color w:val="000000"/>
          <w:sz w:val="22"/>
          <w:szCs w:val="22"/>
          <w:rtl w:val="0"/>
        </w:rPr>
        <w:t xml:space="preserve">Mureș</w:t>
      </w:r>
    </w:p>
    <w:p w:rsidR="00000000" w:rsidDel="00000000" w:rsidP="00000000" w:rsidRDefault="00000000" w:rsidRPr="00000000" w14:paraId="0000004C">
      <w:pPr>
        <w:spacing w:after="80" w:before="240" w:line="276"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276" w:lineRule="auto"/>
              <w:rPr>
                <w:sz w:val="22"/>
                <w:szCs w:val="22"/>
              </w:rPr>
            </w:pPr>
            <w:sdt>
              <w:sdtPr>
                <w:id w:val="180971961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276"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276" w:lineRule="auto"/>
              <w:rPr>
                <w:sz w:val="22"/>
                <w:szCs w:val="22"/>
              </w:rPr>
            </w:pPr>
            <w:sdt>
              <w:sdtPr>
                <w:id w:val="-104038982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276"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276" w:lineRule="auto"/>
              <w:rPr>
                <w:sz w:val="22"/>
                <w:szCs w:val="22"/>
              </w:rPr>
            </w:pPr>
            <w:sdt>
              <w:sdtPr>
                <w:id w:val="154492261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276" w:lineRule="auto"/>
              <w:rPr>
                <w:sz w:val="22"/>
                <w:szCs w:val="22"/>
              </w:rPr>
            </w:pPr>
            <w:sdt>
              <w:sdtPr>
                <w:id w:val="-71949499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276"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276" w:lineRule="auto"/>
              <w:rPr>
                <w:sz w:val="22"/>
                <w:szCs w:val="22"/>
              </w:rPr>
            </w:pPr>
            <w:sdt>
              <w:sdtPr>
                <w:id w:val="-193114662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276"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276" w:lineRule="auto"/>
              <w:rPr>
                <w:sz w:val="22"/>
                <w:szCs w:val="22"/>
              </w:rPr>
            </w:pPr>
            <w:sdt>
              <w:sdtPr>
                <w:id w:val="1391814336"/>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276"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276"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276"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276" w:lineRule="auto"/>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5B">
      <w:pPr>
        <w:spacing w:after="80" w:before="240" w:line="276"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276"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276"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276" w:lineRule="auto"/>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5F">
      <w:pPr>
        <w:spacing w:after="80" w:before="240" w:line="276"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276"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276" w:lineRule="auto"/>
        <w:rPr>
          <w:color w:val="000000"/>
          <w:sz w:val="22"/>
          <w:szCs w:val="22"/>
        </w:rPr>
      </w:pPr>
      <w:r w:rsidDel="00000000" w:rsidR="00000000" w:rsidRPr="00000000">
        <w:rPr>
          <w:color w:val="000000"/>
          <w:sz w:val="22"/>
          <w:szCs w:val="22"/>
          <w:rtl w:val="0"/>
        </w:rPr>
        <w:t xml:space="preserve">108,77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62">
      <w:pPr>
        <w:spacing w:after="0" w:before="160" w:line="276"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5">
      <w:pPr>
        <w:spacing w:after="0" w:before="160" w:line="276"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6">
            <w:pPr>
              <w:spacing w:after="120" w:line="276"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7">
            <w:pPr>
              <w:spacing w:after="120" w:line="276"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0" w:line="276"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0" w:line="276" w:lineRule="auto"/>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06A">
            <w:pPr>
              <w:spacing w:after="0" w:line="276" w:lineRule="auto"/>
              <w:rPr>
                <w:sz w:val="22"/>
                <w:szCs w:val="22"/>
              </w:rPr>
            </w:pPr>
            <w:r w:rsidDel="00000000" w:rsidR="00000000" w:rsidRPr="00000000">
              <w:rPr>
                <w:sz w:val="22"/>
                <w:szCs w:val="22"/>
                <w:rtl w:val="0"/>
              </w:rPr>
              <w:t xml:space="preserve">91Y0 Păduri dacice de stejar şi carpen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76"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76" w:lineRule="auto"/>
              <w:rPr>
                <w:b w:val="1"/>
                <w:bCs w:val="1"/>
                <w:color w:val="000000"/>
                <w:sz w:val="22"/>
                <w:szCs w:val="22"/>
              </w:rPr>
            </w:pPr>
            <w:r w:rsidDel="00000000" w:rsidR="00000000" w:rsidRPr="00000000">
              <w:rPr>
                <w:b w:val="1"/>
                <w:bCs w:val="1"/>
                <w:color w:val="000000"/>
                <w:sz w:val="22"/>
                <w:szCs w:val="22"/>
                <w:rtl w:val="0"/>
              </w:rPr>
              <w:t xml:space="preserve">Chiroptere:</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1321 Myotis emarginatus </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1342 Dryomys nitedula</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1363 Felis silvestris</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2630 Martes foina</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2631 Meles meles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1341 Muscardinus avellanarius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2634 Mustela nivalis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76" w:lineRule="auto"/>
              <w:rPr>
                <w:b w:val="1"/>
                <w:bCs w:val="1"/>
                <w:color w:val="000000"/>
                <w:sz w:val="22"/>
                <w:szCs w:val="22"/>
              </w:rPr>
            </w:pPr>
            <w:r w:rsidDel="00000000" w:rsidR="00000000" w:rsidRPr="00000000">
              <w:rPr>
                <w:b w:val="1"/>
                <w:bCs w:val="1"/>
                <w:color w:val="000000"/>
                <w:sz w:val="22"/>
                <w:szCs w:val="22"/>
                <w:rtl w:val="0"/>
              </w:rPr>
              <w:t xml:space="preserve">Amfibieni:</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1193 Bombina variegata </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1166 Triturus cristatus </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4008 Triturus vulgaris ampelensis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76" w:lineRule="auto"/>
              <w:rPr>
                <w:b w:val="1"/>
                <w:bCs w:val="1"/>
                <w:color w:val="000000"/>
                <w:sz w:val="22"/>
                <w:szCs w:val="22"/>
              </w:rPr>
            </w:pPr>
            <w:r w:rsidDel="00000000" w:rsidR="00000000" w:rsidRPr="00000000">
              <w:rPr>
                <w:b w:val="1"/>
                <w:bCs w:val="1"/>
                <w:color w:val="000000"/>
                <w:sz w:val="22"/>
                <w:szCs w:val="22"/>
                <w:rtl w:val="0"/>
              </w:rPr>
              <w:t xml:space="preserve">Nevertebrate:</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1088 Cerambyx cerdo</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76" w:lineRule="auto"/>
              <w:rPr>
                <w:i w:val="1"/>
                <w:iCs w:val="1"/>
                <w:color w:val="000000"/>
                <w:sz w:val="22"/>
                <w:szCs w:val="22"/>
              </w:rPr>
            </w:pPr>
            <w:r w:rsidDel="00000000" w:rsidR="00000000" w:rsidRPr="00000000">
              <w:rPr>
                <w:i w:val="1"/>
                <w:iCs w:val="1"/>
                <w:color w:val="000000"/>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76"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jc w:val="both"/>
              <w:rPr>
                <w:sz w:val="22"/>
                <w:szCs w:val="22"/>
              </w:rPr>
            </w:pPr>
            <w:r w:rsidDel="00000000" w:rsidR="00000000" w:rsidRPr="00000000">
              <w:rPr>
                <w:sz w:val="22"/>
                <w:szCs w:val="22"/>
                <w:rtl w:val="0"/>
              </w:rPr>
              <w:t xml:space="preserve">Habitatele forestiere desemnate ca ZPB susțin o diversitate biologică ridicată, asociată structurii arboretelor, prezenței arborilor bătrâni și a microhabitatelor forestiere care găzduiesc specii de plante, nevertebrate, păsări și mamifere de interes conservativ.</w:t>
            </w:r>
          </w:p>
          <w:p w:rsidR="00000000" w:rsidDel="00000000" w:rsidP="00000000" w:rsidRDefault="00000000" w:rsidRPr="00000000" w14:paraId="0000007D">
            <w:pPr>
              <w:spacing w:after="0" w:line="240" w:lineRule="auto"/>
              <w:jc w:val="both"/>
              <w:rPr>
                <w:sz w:val="22"/>
                <w:szCs w:val="22"/>
              </w:rPr>
            </w:pPr>
            <w:r w:rsidDel="00000000" w:rsidR="00000000" w:rsidRPr="00000000">
              <w:rPr>
                <w:sz w:val="22"/>
                <w:szCs w:val="22"/>
                <w:rtl w:val="0"/>
              </w:rPr>
              <w:t xml:space="preserve">Habitatele forestiere contribuie la stocarea carbonului și la reglarea climatului local.</w:t>
            </w:r>
          </w:p>
          <w:p w:rsidR="00000000" w:rsidDel="00000000" w:rsidP="00000000" w:rsidRDefault="00000000" w:rsidRPr="00000000" w14:paraId="0000007E">
            <w:pPr>
              <w:spacing w:after="0" w:line="276" w:lineRule="auto"/>
              <w:jc w:val="both"/>
              <w:rPr>
                <w:b w:val="1"/>
                <w:bCs w:val="1"/>
                <w:sz w:val="22"/>
                <w:szCs w:val="22"/>
              </w:rPr>
            </w:pPr>
            <w:r w:rsidDel="00000000" w:rsidR="00000000" w:rsidRPr="00000000">
              <w:rPr>
                <w:sz w:val="22"/>
                <w:szCs w:val="22"/>
                <w:rtl w:val="0"/>
              </w:rPr>
              <w:t xml:space="preserve">Desemnarea ca ZPB se fundamentează pe valoarea conservativă cumulată a habitatelor și speciilor de interes comunitar, naturalitatea ridicată a ecosistemelor și contribuția la prevenirea și reducerea efectelor schimbărilor climatice.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276"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276" w:lineRule="auto"/>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p w:rsidR="00000000" w:rsidDel="00000000" w:rsidP="00000000" w:rsidRDefault="00000000" w:rsidRPr="00000000" w14:paraId="00000081">
            <w:pPr>
              <w:spacing w:after="0" w:line="276" w:lineRule="auto"/>
              <w:rPr>
                <w:sz w:val="22"/>
                <w:szCs w:val="22"/>
              </w:rPr>
            </w:pPr>
            <w:r w:rsidDel="00000000" w:rsidR="00000000" w:rsidRPr="00000000">
              <w:rPr>
                <w:sz w:val="22"/>
                <w:szCs w:val="22"/>
                <w:rtl w:val="0"/>
              </w:rPr>
              <w:t xml:space="preserve">B.02.04 Îndepărtarea arborilor uscați sau</w:t>
            </w:r>
          </w:p>
          <w:p w:rsidR="00000000" w:rsidDel="00000000" w:rsidP="00000000" w:rsidRDefault="00000000" w:rsidRPr="00000000" w14:paraId="00000082">
            <w:pPr>
              <w:spacing w:after="0" w:line="276" w:lineRule="auto"/>
              <w:rPr>
                <w:sz w:val="22"/>
                <w:szCs w:val="22"/>
              </w:rPr>
            </w:pPr>
            <w:r w:rsidDel="00000000" w:rsidR="00000000" w:rsidRPr="00000000">
              <w:rPr>
                <w:sz w:val="22"/>
                <w:szCs w:val="22"/>
                <w:rtl w:val="0"/>
              </w:rPr>
              <w:t xml:space="preserve">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276"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276"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276"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4">
      <w:pPr>
        <w:spacing w:after="80" w:before="240" w:line="276"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5">
      <w:pPr>
        <w:pBdr>
          <w:top w:color="000000" w:space="0" w:sz="6" w:val="single"/>
          <w:left w:color="000000" w:space="1"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Sămărghițan, M., Oroian, S., 2012. Invasive plants in the flora of Mureș County. J. Plant Develop. 19: 131-140</w:t>
      </w:r>
    </w:p>
    <w:p w:rsidR="00000000" w:rsidDel="00000000" w:rsidP="00000000" w:rsidRDefault="00000000" w:rsidRPr="00000000" w14:paraId="000000A6">
      <w:pPr>
        <w:spacing w:after="120" w:before="480" w:line="276"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pBdr>
        <w:spacing w:after="240" w:before="240" w:line="300" w:lineRule="auto"/>
        <w:jc w:val="both"/>
        <w:rPr>
          <w:color w:val="000000"/>
          <w:sz w:val="22"/>
          <w:szCs w:val="22"/>
        </w:rPr>
      </w:pPr>
      <w:r w:rsidDel="00000000" w:rsidR="00000000" w:rsidRPr="00000000">
        <w:rPr>
          <w:color w:val="000000"/>
          <w:sz w:val="22"/>
          <w:szCs w:val="22"/>
          <w:rtl w:val="0"/>
        </w:rPr>
        <w:t xml:space="preserve">Consultările publice  au fost realizate la: 1 octombrie 2024 – Târgu Mureș, jud. Mureș.Ulterior, în cadrul procesului de consultare extins la nivel național, au avut loc consultări suplimentare online, în data de 26 ianuarie 2026, cu participarea factorilor interesați relevanți din județul Mureș.</w:t>
      </w:r>
    </w:p>
    <w:p w:rsidR="00000000" w:rsidDel="00000000" w:rsidP="00000000" w:rsidRDefault="00000000" w:rsidRPr="00000000" w14:paraId="000000A8">
      <w:pPr>
        <w:spacing w:after="0" w:line="300" w:lineRule="auto"/>
        <w:jc w:val="center"/>
        <w:rPr>
          <w:b w:val="1"/>
          <w:bCs w:val="1"/>
          <w:sz w:val="22"/>
          <w:szCs w:val="22"/>
        </w:rPr>
      </w:pPr>
      <w:bookmarkStart w:colFirst="0" w:colLast="0" w:name="_heading=h.venjbad48mtw" w:id="0"/>
      <w:bookmarkEnd w:id="0"/>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9">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A">
      <w:pPr>
        <w:spacing w:after="0" w:line="300" w:lineRule="auto"/>
        <w:rPr>
          <w:sz w:val="22"/>
          <w:szCs w:val="22"/>
        </w:rPr>
      </w:pPr>
      <w:r w:rsidDel="00000000" w:rsidR="00000000" w:rsidRPr="00000000">
        <w:rPr>
          <w:rtl w:val="0"/>
        </w:rPr>
      </w:r>
    </w:p>
    <w:p w:rsidR="00000000" w:rsidDel="00000000" w:rsidP="00000000" w:rsidRDefault="00000000" w:rsidRPr="00000000" w14:paraId="000000AB">
      <w:pPr>
        <w:spacing w:after="0" w:line="276" w:lineRule="auto"/>
        <w:rPr>
          <w:sz w:val="22"/>
          <w:szCs w:val="22"/>
        </w:rPr>
      </w:pPr>
      <w:r w:rsidDel="00000000" w:rsidR="00000000" w:rsidRPr="00000000">
        <w:rPr>
          <w:rtl w:val="0"/>
        </w:rPr>
      </w:r>
    </w:p>
    <w:p w:rsidR="00000000" w:rsidDel="00000000" w:rsidP="00000000" w:rsidRDefault="00000000" w:rsidRPr="00000000" w14:paraId="000000AC">
      <w:pPr>
        <w:spacing w:after="0" w:line="276" w:lineRule="auto"/>
        <w:rPr>
          <w:sz w:val="22"/>
          <w:szCs w:val="22"/>
        </w:rPr>
      </w:pPr>
      <w:r w:rsidDel="00000000" w:rsidR="00000000" w:rsidRPr="00000000">
        <w:rPr>
          <w:rtl w:val="0"/>
        </w:rPr>
      </w:r>
    </w:p>
    <w:p w:rsidR="00000000" w:rsidDel="00000000" w:rsidP="00000000" w:rsidRDefault="00000000" w:rsidRPr="00000000" w14:paraId="000000AD">
      <w:pPr>
        <w:spacing w:after="0" w:line="276"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a" w:customStyle="1">
    <w:basedOn w:val="TableNormal1"/>
    <w:tblPr>
      <w:tblStyleRowBandSize w:val="1"/>
      <w:tblStyleColBandSize w:val="1"/>
      <w:tblCellMar>
        <w:left w:w="10.0" w:type="dxa"/>
        <w:right w:w="10.0" w:type="dxa"/>
      </w:tblCellMar>
    </w:tblPr>
  </w:style>
  <w:style w:type="table" w:styleId="a0" w:customStyle="1">
    <w:basedOn w:val="TableNormal1"/>
    <w:tblPr>
      <w:tblStyleRowBandSize w:val="1"/>
      <w:tblStyleColBandSize w:val="1"/>
      <w:tblCellMar>
        <w:top w:w="50.0" w:type="dxa"/>
        <w:left w:w="50.0" w:type="dxa"/>
        <w:bottom w:w="50.0" w:type="dxa"/>
        <w:right w:w="50.0" w:type="dxa"/>
      </w:tblCellMar>
    </w:tblPr>
  </w:style>
  <w:style w:type="table" w:styleId="a1" w:customStyle="1">
    <w:basedOn w:val="TableNormal1"/>
    <w:tblPr>
      <w:tblStyleRowBandSize w:val="1"/>
      <w:tblStyleColBandSize w:val="1"/>
      <w:tblCellMar>
        <w:top w:w="50.0" w:type="dxa"/>
        <w:left w:w="50.0" w:type="dxa"/>
        <w:bottom w:w="50.0" w:type="dxa"/>
        <w:right w:w="50.0" w:type="dxa"/>
      </w:tblCellMar>
    </w:tblPr>
  </w:style>
  <w:style w:type="table" w:styleId="a2" w:customStyle="1">
    <w:basedOn w:val="TableNormal1"/>
    <w:tblPr>
      <w:tblStyleRowBandSize w:val="1"/>
      <w:tblStyleColBandSize w:val="1"/>
      <w:tblCellMar>
        <w:left w:w="10.0" w:type="dxa"/>
        <w:right w:w="10.0" w:type="dxa"/>
      </w:tblCellMar>
    </w:tblPr>
  </w:style>
  <w:style w:type="table" w:styleId="a3" w:customStyle="1">
    <w:basedOn w:val="TableNormal1"/>
    <w:tblPr>
      <w:tblStyleRowBandSize w:val="1"/>
      <w:tblStyleColBandSize w:val="1"/>
      <w:tblCellMar>
        <w:top w:w="50.0" w:type="dxa"/>
        <w:left w:w="50.0" w:type="dxa"/>
        <w:bottom w:w="50.0" w:type="dxa"/>
        <w:right w:w="50.0" w:type="dxa"/>
      </w:tblCellMar>
    </w:tblPr>
  </w:style>
  <w:style w:type="table" w:styleId="a4" w:customStyle="1">
    <w:basedOn w:val="TableNormal1"/>
    <w:tblPr>
      <w:tblStyleRowBandSize w:val="1"/>
      <w:tblStyleColBandSize w:val="1"/>
      <w:tblCellMar>
        <w:left w:w="10.0" w:type="dxa"/>
        <w:right w:w="10.0" w:type="dxa"/>
      </w:tblCellMar>
    </w:tblPr>
  </w:style>
  <w:style w:type="table" w:styleId="a5" w:customStyle="1">
    <w:basedOn w:val="TableNormal1"/>
    <w:tblPr>
      <w:tblStyleRowBandSize w:val="1"/>
      <w:tblStyleColBandSize w:val="1"/>
      <w:tblCellMar>
        <w:left w:w="10.0" w:type="dxa"/>
        <w:right w:w="10.0" w:type="dxa"/>
      </w:tblCellMar>
    </w:tblPr>
  </w:style>
  <w:style w:type="table" w:styleId="a6" w:customStyle="1">
    <w:basedOn w:val="TableNormal1"/>
    <w:tblPr>
      <w:tblStyleRowBandSize w:val="1"/>
      <w:tblStyleColBandSize w:val="1"/>
      <w:tblCellMar>
        <w:left w:w="10.0" w:type="dxa"/>
        <w:right w:w="10.0" w:type="dxa"/>
      </w:tblCellMar>
    </w:tblPr>
  </w:style>
  <w:style w:type="table" w:styleId="a7" w:customStyle="1">
    <w:basedOn w:val="TableNormal1"/>
    <w:tblPr>
      <w:tblStyleRowBandSize w:val="1"/>
      <w:tblStyleColBandSize w:val="1"/>
      <w:tblCellMar>
        <w:left w:w="10.0" w:type="dxa"/>
        <w:right w:w="10.0" w:type="dxa"/>
      </w:tblCellMar>
    </w:tblPr>
  </w:style>
  <w:style w:type="table" w:styleId="a8" w:customStyle="1">
    <w:basedOn w:val="TableNormal1"/>
    <w:tblPr>
      <w:tblStyleRowBandSize w:val="1"/>
      <w:tblStyleColBandSize w:val="1"/>
      <w:tblCellMar>
        <w:left w:w="10.0" w:type="dxa"/>
        <w:right w:w="10.0" w:type="dxa"/>
      </w:tblCellMar>
    </w:tblPr>
  </w:style>
  <w:style w:type="table" w:styleId="a9" w:customStyle="1">
    <w:basedOn w:val="TableNormal1"/>
    <w:tblPr>
      <w:tblStyleRowBandSize w:val="1"/>
      <w:tblStyleColBandSize w:val="1"/>
      <w:tblCellMar>
        <w:left w:w="10.0" w:type="dxa"/>
        <w:right w:w="10.0" w:type="dxa"/>
      </w:tblCellMar>
    </w:tblPr>
  </w:style>
  <w:style w:type="table" w:styleId="aa" w:customStyle="1">
    <w:basedOn w:val="TableNormal1"/>
    <w:tblPr>
      <w:tblStyleRowBandSize w:val="1"/>
      <w:tblStyleColBandSize w:val="1"/>
      <w:tblCellMar>
        <w:left w:w="10.0" w:type="dxa"/>
        <w:right w:w="10.0" w:type="dxa"/>
      </w:tblCellMar>
    </w:tblPr>
  </w:style>
  <w:style w:type="table" w:styleId="ab" w:customStyle="1">
    <w:basedOn w:val="TableNormal1"/>
    <w:tblPr>
      <w:tblStyleRowBandSize w:val="1"/>
      <w:tblStyleColBandSize w:val="1"/>
      <w:tblCellMar>
        <w:left w:w="10.0" w:type="dxa"/>
        <w:right w:w="10.0" w:type="dxa"/>
      </w:tblCellMar>
    </w:tblPr>
  </w:style>
  <w:style w:type="table" w:styleId="ac" w:customStyle="1">
    <w:basedOn w:val="TableNormal1"/>
    <w:tblPr>
      <w:tblStyleRowBandSize w:val="1"/>
      <w:tblStyleColBandSize w:val="1"/>
      <w:tblCellMar>
        <w:left w:w="10.0" w:type="dxa"/>
        <w:right w:w="10.0" w:type="dxa"/>
      </w:tblCellMar>
    </w:tblPr>
  </w:style>
  <w:style w:type="table" w:styleId="ad" w:customStyle="1">
    <w:basedOn w:val="TableNormal1"/>
    <w:tblPr>
      <w:tblStyleRowBandSize w:val="1"/>
      <w:tblStyleColBandSize w:val="1"/>
      <w:tblCellMar>
        <w:left w:w="10.0" w:type="dxa"/>
        <w:right w:w="10.0" w:type="dxa"/>
      </w:tblCellMar>
    </w:tblPr>
  </w:style>
  <w:style w:type="table" w:styleId="ae" w:customStyle="1">
    <w:basedOn w:val="TableNormal1"/>
    <w:tblPr>
      <w:tblStyleRowBandSize w:val="1"/>
      <w:tblStyleColBandSize w:val="1"/>
      <w:tblCellMar>
        <w:left w:w="10.0" w:type="dxa"/>
        <w:right w:w="10.0" w:type="dxa"/>
      </w:tblCellMar>
    </w:tblPr>
  </w:style>
  <w:style w:type="table" w:styleId="af" w:customStyle="1">
    <w:basedOn w:val="TableNormal1"/>
    <w:tblPr>
      <w:tblStyleRowBandSize w:val="1"/>
      <w:tblStyleColBandSize w:val="1"/>
      <w:tblCellMar>
        <w:left w:w="10.0" w:type="dxa"/>
        <w:right w:w="10.0" w:type="dxa"/>
      </w:tblCellMar>
    </w:tblPr>
  </w:style>
  <w:style w:type="paragraph" w:styleId="ListParagraph">
    <w:name w:val="List Paragraph"/>
    <w:basedOn w:val="Normal"/>
    <w:uiPriority w:val="34"/>
    <w:qFormat w:val="1"/>
    <w:rsid w:val="004B44ED"/>
    <w:pPr>
      <w:ind w:left="720"/>
      <w:contextualSpacing w:val="1"/>
    </w:pPr>
  </w:style>
  <w:style w:type="paragraph" w:styleId="BorderedParagraph" w:customStyle="1">
    <w:name w:val="BorderedParagraph"/>
    <w:basedOn w:val="Normal"/>
    <w:rsid w:val="002F499F"/>
    <w:pPr>
      <w:pBdr>
        <w:top w:color="000000" w:space="0" w:sz="6" w:val="single"/>
        <w:left w:color="000000" w:space="0" w:sz="6" w:val="single"/>
        <w:bottom w:color="000000" w:space="0" w:sz="6" w:val="single"/>
        <w:right w:color="000000" w:space="0" w:sz="6" w:val="single"/>
      </w:pBdr>
    </w:pPr>
    <w:rPr>
      <w:lang w:val="en-US"/>
    </w:rPr>
  </w:style>
  <w:style w:type="character" w:styleId="Hyperlink">
    <w:name w:val="Hyperlink"/>
    <w:basedOn w:val="DefaultParagraphFont"/>
    <w:uiPriority w:val="99"/>
    <w:unhideWhenUsed w:val="1"/>
    <w:rsid w:val="00334C8B"/>
    <w:rPr>
      <w:color w:val="0000ff" w:themeColor="hyperlink"/>
      <w:u w:val="single"/>
    </w:rPr>
  </w:style>
  <w:style w:type="table" w:styleId="af0" w:customStyle="1">
    <w:basedOn w:val="TableNormal"/>
    <w:tblPr>
      <w:tblStyleRowBandSize w:val="1"/>
      <w:tblStyleColBandSize w:val="1"/>
      <w:tblCellMar>
        <w:left w:w="10.0" w:type="dxa"/>
        <w:right w:w="10.0" w:type="dxa"/>
      </w:tblCellMar>
    </w:tblPr>
  </w:style>
  <w:style w:type="table" w:styleId="af1" w:customStyle="1">
    <w:basedOn w:val="TableNormal"/>
    <w:tblPr>
      <w:tblStyleRowBandSize w:val="1"/>
      <w:tblStyleColBandSize w:val="1"/>
      <w:tblCellMar>
        <w:top w:w="50.0" w:type="dxa"/>
        <w:left w:w="50.0" w:type="dxa"/>
        <w:bottom w:w="50.0" w:type="dxa"/>
        <w:right w:w="50.0" w:type="dxa"/>
      </w:tblCellMar>
    </w:tblPr>
  </w:style>
  <w:style w:type="table" w:styleId="af2" w:customStyle="1">
    <w:basedOn w:val="TableNormal"/>
    <w:tblPr>
      <w:tblStyleRowBandSize w:val="1"/>
      <w:tblStyleColBandSize w:val="1"/>
      <w:tblCellMar>
        <w:top w:w="50.0" w:type="dxa"/>
        <w:left w:w="50.0" w:type="dxa"/>
        <w:bottom w:w="50.0" w:type="dxa"/>
        <w:right w:w="50.0" w:type="dxa"/>
      </w:tblCellMar>
    </w:tblPr>
  </w:style>
  <w:style w:type="table" w:styleId="af3" w:customStyle="1">
    <w:basedOn w:val="TableNormal"/>
    <w:tblPr>
      <w:tblStyleRowBandSize w:val="1"/>
      <w:tblStyleColBandSize w:val="1"/>
      <w:tblCellMar>
        <w:left w:w="10.0" w:type="dxa"/>
        <w:right w:w="10.0" w:type="dxa"/>
      </w:tblCellMar>
    </w:tblPr>
  </w:style>
  <w:style w:type="table" w:styleId="af4" w:customStyle="1">
    <w:basedOn w:val="TableNormal"/>
    <w:tblPr>
      <w:tblStyleRowBandSize w:val="1"/>
      <w:tblStyleColBandSize w:val="1"/>
      <w:tblCellMar>
        <w:top w:w="50.0" w:type="dxa"/>
        <w:left w:w="50.0" w:type="dxa"/>
        <w:bottom w:w="50.0" w:type="dxa"/>
        <w:right w:w="50.0" w:type="dxa"/>
      </w:tblCellMar>
    </w:tblPr>
  </w:style>
  <w:style w:type="table" w:styleId="af5" w:customStyle="1">
    <w:basedOn w:val="TableNormal"/>
    <w:tblPr>
      <w:tblStyleRowBandSize w:val="1"/>
      <w:tblStyleColBandSize w:val="1"/>
      <w:tblCellMar>
        <w:left w:w="10.0" w:type="dxa"/>
        <w:right w:w="10.0" w:type="dxa"/>
      </w:tblCellMar>
    </w:tblPr>
  </w:style>
  <w:style w:type="table" w:styleId="af6" w:customStyle="1">
    <w:basedOn w:val="TableNormal"/>
    <w:tblPr>
      <w:tblStyleRowBandSize w:val="1"/>
      <w:tblStyleColBandSize w:val="1"/>
      <w:tblCellMar>
        <w:left w:w="10.0" w:type="dxa"/>
        <w:right w:w="10.0" w:type="dxa"/>
      </w:tblCellMar>
    </w:tblPr>
  </w:style>
  <w:style w:type="table" w:styleId="af7" w:customStyle="1">
    <w:basedOn w:val="TableNormal"/>
    <w:tblPr>
      <w:tblStyleRowBandSize w:val="1"/>
      <w:tblStyleColBandSize w:val="1"/>
      <w:tblCellMar>
        <w:left w:w="1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9NNI9R2+SVAzVMTzYY/J60q4f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wWGN6OUdxaDMxQ2xfeDJ3R1ZfMnVCWFZuS0Zxb2dj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2026-07-04T08:51:00Z</dcterms:created>
  <dc:creator>Vlad Macicasan</dc:creator>
</cp:coreProperties>
</file>